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76" w:rsidRDefault="009C4376" w:rsidP="00D76383"/>
    <w:p w:rsidR="00D02A10" w:rsidRDefault="00687832" w:rsidP="00D02A10">
      <w:r w:rsidRPr="00830244">
        <w:rPr>
          <w:b/>
        </w:rPr>
        <w:t>PRIPRAVLJALNI LETNIK, LIKOVNA PEDAGOGIKA, 2. stopnja</w:t>
      </w:r>
      <w:r w:rsidR="00D02A10">
        <w:rPr>
          <w:b/>
        </w:rPr>
        <w:t xml:space="preserve">             </w:t>
      </w:r>
      <w:r w:rsidR="00D02A10">
        <w:t>Maribor, november 2018</w:t>
      </w:r>
    </w:p>
    <w:p w:rsidR="00687832" w:rsidRPr="00830244" w:rsidRDefault="00687832" w:rsidP="00687832">
      <w:pPr>
        <w:rPr>
          <w:b/>
        </w:rPr>
      </w:pPr>
    </w:p>
    <w:p w:rsidR="00687832" w:rsidRDefault="00687832" w:rsidP="00687832">
      <w:r w:rsidRPr="00830244">
        <w:t xml:space="preserve">Pred vpisom v študijski program druge stopnje Likovna pedagogika opravi </w:t>
      </w:r>
      <w:r w:rsidRPr="00687832">
        <w:rPr>
          <w:u w:val="single"/>
        </w:rPr>
        <w:t>pripravljalni letnik</w:t>
      </w:r>
      <w:r w:rsidRPr="00830244">
        <w:t xml:space="preserve">  kdor je končal:</w:t>
      </w:r>
    </w:p>
    <w:p w:rsidR="00873D3F" w:rsidRPr="00D02A10" w:rsidRDefault="00873D3F" w:rsidP="00873D3F">
      <w:pPr>
        <w:pStyle w:val="Odstavekseznama"/>
        <w:numPr>
          <w:ilvl w:val="0"/>
          <w:numId w:val="5"/>
        </w:numPr>
        <w:rPr>
          <w:rFonts w:cs="Calibri"/>
          <w:color w:val="FF0000"/>
        </w:rPr>
      </w:pPr>
      <w:r w:rsidRPr="00D02A10">
        <w:rPr>
          <w:rFonts w:cs="Calibri"/>
          <w:color w:val="000000"/>
        </w:rPr>
        <w:t xml:space="preserve">Študijski program prve stopnje s strokovnih področij: </w:t>
      </w:r>
      <w:r w:rsidRPr="00D02A10">
        <w:rPr>
          <w:rFonts w:cs="Calibri"/>
        </w:rPr>
        <w:t xml:space="preserve">Likovna umetnost (0213)  v </w:t>
      </w:r>
      <w:r w:rsidRPr="00D02A10">
        <w:rPr>
          <w:rFonts w:cs="Calibri"/>
          <w:color w:val="000000"/>
        </w:rPr>
        <w:t>obsegu 180 ECTS</w:t>
      </w:r>
      <w:r w:rsidRPr="00D02A10">
        <w:rPr>
          <w:rFonts w:cs="Calibri"/>
          <w:color w:val="000000" w:themeColor="text1"/>
        </w:rPr>
        <w:t>.</w:t>
      </w:r>
    </w:p>
    <w:p w:rsidR="00873D3F" w:rsidRPr="00D02A10" w:rsidRDefault="00873D3F" w:rsidP="00873D3F">
      <w:pPr>
        <w:pStyle w:val="Odstavekseznama"/>
        <w:rPr>
          <w:rFonts w:cs="Calibri"/>
          <w:color w:val="FF0000"/>
        </w:rPr>
      </w:pPr>
      <w:r w:rsidRPr="00D02A10">
        <w:rPr>
          <w:rFonts w:cs="Calibri"/>
          <w:color w:val="000000" w:themeColor="text1"/>
        </w:rPr>
        <w:t xml:space="preserve">Pred vpisom mora opraviti naslednje obveznosti: pripravljalni letnik v obsegu 60 ECTS. Obveznosti lahko pred vpisom opravi tudi v programih za izpopolnjevanje. </w:t>
      </w:r>
    </w:p>
    <w:p w:rsidR="00873D3F" w:rsidRPr="00D02A10" w:rsidRDefault="00873D3F" w:rsidP="00873D3F">
      <w:pPr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color w:val="000000"/>
        </w:rPr>
      </w:pPr>
      <w:r w:rsidRPr="00D02A10">
        <w:rPr>
          <w:rFonts w:asciiTheme="minorHAnsi" w:hAnsiTheme="minorHAnsi" w:cstheme="minorHAnsi"/>
          <w:color w:val="000000"/>
        </w:rPr>
        <w:t xml:space="preserve">Študijski program prve stopnje z drugih strokovnih področij: </w:t>
      </w:r>
      <w:r w:rsidRPr="00D02A10">
        <w:rPr>
          <w:rFonts w:cs="Calibri"/>
        </w:rPr>
        <w:t>likovna umetnost (0213)</w:t>
      </w:r>
      <w:r w:rsidRPr="00D02A10">
        <w:rPr>
          <w:rFonts w:asciiTheme="minorHAnsi" w:hAnsiTheme="minorHAnsi" w:cstheme="minorHAnsi"/>
          <w:color w:val="000000"/>
        </w:rPr>
        <w:t xml:space="preserve">  v obsegu 240 ECTS. </w:t>
      </w:r>
    </w:p>
    <w:p w:rsidR="00873D3F" w:rsidRPr="00D02A10" w:rsidRDefault="00873D3F" w:rsidP="00873D3F">
      <w:pPr>
        <w:suppressAutoHyphens/>
        <w:ind w:left="720"/>
        <w:jc w:val="both"/>
        <w:rPr>
          <w:rFonts w:asciiTheme="minorHAnsi" w:hAnsiTheme="minorHAnsi" w:cstheme="minorHAnsi"/>
          <w:color w:val="000000"/>
          <w:highlight w:val="yellow"/>
        </w:rPr>
      </w:pPr>
      <w:r w:rsidRPr="00D02A10">
        <w:rPr>
          <w:rFonts w:asciiTheme="minorHAnsi" w:hAnsiTheme="minorHAnsi" w:cstheme="minorHAnsi"/>
          <w:color w:val="000000"/>
        </w:rPr>
        <w:t>Pred vpisom mora opraviti naslednje obveznosti: pripravljalni letnik v obsegu 45 ECTS.</w:t>
      </w:r>
      <w:r w:rsidRPr="00D02A10">
        <w:t xml:space="preserve"> </w:t>
      </w:r>
      <w:r w:rsidRPr="00D02A10">
        <w:rPr>
          <w:rFonts w:asciiTheme="minorHAnsi" w:hAnsiTheme="minorHAnsi" w:cstheme="minorHAnsi"/>
          <w:color w:val="000000"/>
        </w:rPr>
        <w:t>Obveznosti lahko pred vpisom opravi tudi v programih za izpopolnjevanje.</w:t>
      </w:r>
    </w:p>
    <w:p w:rsidR="00687832" w:rsidRDefault="00687832" w:rsidP="00687832"/>
    <w:p w:rsidR="00687832" w:rsidRPr="00D02A10" w:rsidRDefault="00687832" w:rsidP="00687832">
      <w:pPr>
        <w:rPr>
          <w:u w:val="single"/>
        </w:rPr>
      </w:pPr>
      <w:bookmarkStart w:id="0" w:name="_GoBack"/>
      <w:r w:rsidRPr="00D02A10">
        <w:rPr>
          <w:u w:val="single"/>
        </w:rPr>
        <w:t xml:space="preserve">Postopek prijave in druge informacije: </w:t>
      </w:r>
    </w:p>
    <w:bookmarkEnd w:id="0"/>
    <w:p w:rsidR="00687832" w:rsidRDefault="00687832" w:rsidP="00687832"/>
    <w:p w:rsidR="00687832" w:rsidRDefault="00687832" w:rsidP="00687832">
      <w:r>
        <w:t xml:space="preserve">1. Kandidat odda v službo za študentske zadeve pisno vlogo z osebnimi podatki in z dokazili o zaključenem študiju (overjeno kopijo diplome in originalno potrdilo o opravljenih izpitih oz. overjeno prilogo k diplomi); </w:t>
      </w:r>
    </w:p>
    <w:p w:rsidR="00687832" w:rsidRDefault="00873D3F" w:rsidP="00687832">
      <w:r>
        <w:t>2. Oddelek za likovno umetnost</w:t>
      </w:r>
      <w:r w:rsidR="00687832">
        <w:t xml:space="preserve"> in Oddelek za temeljne pedagoške predmete obravnavata vlogo kandidata in določita obveznosti za posameznega kandidata. Če so pri obravnavi vloge potrebni dodatni podatki o kandidatovem študiju (npr. študijski program), se kandidata pozove k dopolnitvi vloge. </w:t>
      </w:r>
    </w:p>
    <w:p w:rsidR="00687832" w:rsidRDefault="00687832" w:rsidP="00687832">
      <w:r>
        <w:t>3. Služba za študentske zadeve posreduje k</w:t>
      </w:r>
      <w:r w:rsidR="00873D3F">
        <w:t>andidatu sklep Oddelka za likovno umetnost</w:t>
      </w:r>
      <w:r>
        <w:t xml:space="preserve"> in Oddelka za temeljne pedagoške predmete o manjkajočih obveznostih pripravljalnega letnika in/ali kandidata obvesti o urniku izvedbe pripravljalnega letnika. </w:t>
      </w:r>
    </w:p>
    <w:p w:rsidR="00687832" w:rsidRDefault="00687832" w:rsidP="00687832">
      <w:r>
        <w:t>4. Pripravljalni letnik se izvaja v okviru programa za Pedagoško andragoškega izobra</w:t>
      </w:r>
      <w:r w:rsidR="00873D3F">
        <w:t>ževanja in/ali Oddelka za likovno umetnost</w:t>
      </w:r>
      <w:r>
        <w:t xml:space="preserve"> (odvisno od manjkajočih obveznostih). </w:t>
      </w:r>
    </w:p>
    <w:p w:rsidR="00687832" w:rsidRDefault="00687832" w:rsidP="00687832">
      <w:r>
        <w:t xml:space="preserve">5. S kandidatom pripravljalnega letnika se sklene pogodbe. Stroški pripravljalnega letnika se poravnajo skladno s tarifnim delom cenika UM, ki določa izvedbo predmeta z izpitom za 2. študijsko skupino, kot velja za posamezno študijsko leto. </w:t>
      </w:r>
    </w:p>
    <w:p w:rsidR="00687832" w:rsidRDefault="00687832" w:rsidP="00687832">
      <w:r>
        <w:t>6. Kandidati, vključeni v pripravljalni letnik, nimajo statusa študenta.</w:t>
      </w:r>
    </w:p>
    <w:p w:rsidR="00687832" w:rsidRDefault="00687832" w:rsidP="00687832"/>
    <w:p w:rsidR="00687832" w:rsidRDefault="00687832" w:rsidP="00687832">
      <w:r w:rsidRPr="00687832">
        <w:t>V primeru, ko mora kandidat opravit pripravljalni letnik v obsegu 45 ECTS opravi:</w:t>
      </w:r>
    </w:p>
    <w:p w:rsidR="00687832" w:rsidRDefault="00687832" w:rsidP="00687832">
      <w:pPr>
        <w:pStyle w:val="Odstavekseznama"/>
        <w:numPr>
          <w:ilvl w:val="0"/>
          <w:numId w:val="4"/>
        </w:numPr>
      </w:pPr>
      <w:r>
        <w:t>pedagoško didaktični sklop in praktično usposabljanje v obsegu 34 ECTS,</w:t>
      </w:r>
    </w:p>
    <w:p w:rsidR="00687832" w:rsidRPr="00687832" w:rsidRDefault="00687832" w:rsidP="00687832">
      <w:pPr>
        <w:pStyle w:val="Odstavekseznama"/>
        <w:numPr>
          <w:ilvl w:val="0"/>
          <w:numId w:val="4"/>
        </w:numPr>
      </w:pPr>
      <w:r w:rsidRPr="00687832">
        <w:t xml:space="preserve">  izbirni pedagoško-psihološko-andragoški-sklop v obsegu najmanj 11 ECTS</w:t>
      </w:r>
      <w:r>
        <w:t>.</w:t>
      </w:r>
    </w:p>
    <w:p w:rsidR="00687832" w:rsidRDefault="00687832" w:rsidP="00687832"/>
    <w:p w:rsidR="00687832" w:rsidRDefault="00687832" w:rsidP="00687832"/>
    <w:p w:rsidR="00687832" w:rsidRDefault="00687832" w:rsidP="00687832">
      <w:r w:rsidRPr="00687832">
        <w:lastRenderedPageBreak/>
        <w:t>V primeru, ko mora kandidat opravit pripravljalni letnik v obsegu 60 ECTS opravi:</w:t>
      </w:r>
    </w:p>
    <w:p w:rsidR="00687832" w:rsidRDefault="00687832" w:rsidP="00687832">
      <w:pPr>
        <w:pStyle w:val="Odstavekseznama"/>
        <w:numPr>
          <w:ilvl w:val="0"/>
          <w:numId w:val="4"/>
        </w:numPr>
      </w:pPr>
      <w:r>
        <w:t>pedagoško didaktični sklop in praktično usposabljanje v obsegu</w:t>
      </w:r>
      <w:r w:rsidRPr="00687832">
        <w:t xml:space="preserve"> 34 ECTS </w:t>
      </w:r>
      <w:r>
        <w:t>,</w:t>
      </w:r>
    </w:p>
    <w:p w:rsidR="00687832" w:rsidRDefault="00687832" w:rsidP="00687832">
      <w:pPr>
        <w:pStyle w:val="Odstavekseznama"/>
        <w:numPr>
          <w:ilvl w:val="0"/>
          <w:numId w:val="4"/>
        </w:numPr>
      </w:pPr>
      <w:r w:rsidRPr="00687832">
        <w:t>izbirni pedagoško-psihološko-andragoški-</w:t>
      </w:r>
      <w:r>
        <w:t>sklop v obsegu najmanj 11 ECTS in</w:t>
      </w:r>
      <w:r w:rsidRPr="00687832">
        <w:t xml:space="preserve"> strokovni izbirni predmeti v obsegu najmanj 15 ECTS*</w:t>
      </w:r>
    </w:p>
    <w:p w:rsidR="00687832" w:rsidRDefault="00687832" w:rsidP="00687832"/>
    <w:p w:rsidR="00687832" w:rsidRDefault="00687832" w:rsidP="00687832">
      <w:r w:rsidRPr="00687832">
        <w:t>* po 1 predmet na nosilca (torej 1 predmet izmed Risba I-IV, 1 predmet izmed Slikarstvo I-IV, 1 predmet izmed Kiparstvo I – IV, 1 predmet izmed Grafika I – III, Intermed</w:t>
      </w:r>
      <w:r>
        <w:t xml:space="preserve">ijske umetnisti) – pri tem </w:t>
      </w:r>
      <w:r w:rsidRPr="00687832">
        <w:t>mora opraviti cca 2 ali 3 predmete izmed vseh možnih</w:t>
      </w:r>
      <w:r>
        <w:t>.</w:t>
      </w:r>
    </w:p>
    <w:p w:rsidR="00687832" w:rsidRDefault="00687832" w:rsidP="00687832"/>
    <w:p w:rsidR="00687832" w:rsidRDefault="00687832" w:rsidP="00687832"/>
    <w:p w:rsidR="00687832" w:rsidRDefault="00687832" w:rsidP="00687832"/>
    <w:p w:rsidR="00687832" w:rsidRDefault="00687832" w:rsidP="00687832"/>
    <w:p w:rsidR="00687832" w:rsidRDefault="00687832" w:rsidP="00687832"/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95"/>
        <w:gridCol w:w="850"/>
      </w:tblGrid>
      <w:tr w:rsidR="00873D3F" w:rsidRPr="00873D3F" w:rsidTr="00873D3F">
        <w:tc>
          <w:tcPr>
            <w:tcW w:w="562" w:type="dxa"/>
            <w:tcBorders>
              <w:bottom w:val="single" w:sz="4" w:space="0" w:color="auto"/>
            </w:tcBorders>
            <w:shd w:val="clear" w:color="auto" w:fill="BFBFBF"/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b/>
                <w:bCs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b/>
                <w:bCs/>
                <w:color w:val="000000"/>
              </w:rPr>
              <w:t>Zap. št.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FBFBF"/>
          </w:tcPr>
          <w:p w:rsidR="00873D3F" w:rsidRPr="00873D3F" w:rsidRDefault="00873D3F" w:rsidP="00873D3F">
            <w:pPr>
              <w:spacing w:after="200" w:line="276" w:lineRule="auto"/>
              <w:rPr>
                <w:rFonts w:ascii="Arial Narrow" w:eastAsiaTheme="minorHAnsi" w:hAnsi="Arial Narrow" w:cs="Arial"/>
                <w:b/>
                <w:bCs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b/>
                <w:color w:val="000000"/>
              </w:rPr>
              <w:t>Pedagoško- didaktični-sklop</w:t>
            </w:r>
            <w:r w:rsidRPr="00873D3F">
              <w:rPr>
                <w:rFonts w:ascii="Arial Narrow" w:eastAsiaTheme="minorHAnsi" w:hAnsi="Arial Narrow" w:cs="Arial"/>
                <w:b/>
                <w:bCs/>
                <w:color w:val="000000"/>
              </w:rPr>
              <w:t xml:space="preserve"> 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bCs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b/>
                <w:bCs/>
                <w:color w:val="000000"/>
              </w:rPr>
              <w:t>ECTS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bCs/>
                <w:color w:val="000000"/>
              </w:rPr>
            </w:pP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bCs/>
                <w:color w:val="000000"/>
              </w:rPr>
            </w:pP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bCs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b/>
                <w:bCs/>
                <w:color w:val="000000"/>
              </w:rPr>
              <w:t>18</w:t>
            </w:r>
          </w:p>
        </w:tc>
      </w:tr>
      <w:tr w:rsidR="00873D3F" w:rsidRPr="00873D3F" w:rsidTr="00873D3F">
        <w:tc>
          <w:tcPr>
            <w:tcW w:w="562" w:type="dxa"/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1</w:t>
            </w:r>
          </w:p>
        </w:tc>
        <w:tc>
          <w:tcPr>
            <w:tcW w:w="4395" w:type="dxa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>
              <w:rPr>
                <w:rFonts w:ascii="Arial Narrow" w:eastAsiaTheme="minorHAnsi" w:hAnsi="Arial Narrow" w:cs="Arial"/>
                <w:color w:val="000000"/>
              </w:rPr>
              <w:t>Didaktika (red</w:t>
            </w:r>
            <w:r w:rsidRPr="00873D3F">
              <w:rPr>
                <w:rFonts w:ascii="Arial Narrow" w:eastAsiaTheme="minorHAnsi" w:hAnsi="Arial Narrow" w:cs="Arial"/>
                <w:color w:val="000000"/>
              </w:rPr>
              <w:t>. prof. dr. Milena Ivanuš Grmek)</w:t>
            </w:r>
          </w:p>
        </w:tc>
        <w:tc>
          <w:tcPr>
            <w:tcW w:w="850" w:type="dxa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6</w:t>
            </w:r>
          </w:p>
        </w:tc>
      </w:tr>
      <w:tr w:rsidR="00873D3F" w:rsidRPr="00873D3F" w:rsidTr="00873D3F">
        <w:tc>
          <w:tcPr>
            <w:tcW w:w="562" w:type="dxa"/>
            <w:tcBorders>
              <w:bottom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Predmetna didaktika: Did</w:t>
            </w:r>
            <w:r>
              <w:rPr>
                <w:rFonts w:ascii="Arial Narrow" w:eastAsiaTheme="minorHAnsi" w:hAnsi="Arial Narrow" w:cs="Arial"/>
                <w:color w:val="000000"/>
              </w:rPr>
              <w:t>aktika umetniških predmetov (red</w:t>
            </w:r>
            <w:r w:rsidRPr="00873D3F">
              <w:rPr>
                <w:rFonts w:ascii="Arial Narrow" w:eastAsiaTheme="minorHAnsi" w:hAnsi="Arial Narrow" w:cs="Arial"/>
                <w:color w:val="000000"/>
              </w:rPr>
              <w:t>. prof. dr. Janja Črčinovič Rozman)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12</w:t>
            </w:r>
          </w:p>
        </w:tc>
      </w:tr>
      <w:tr w:rsidR="00873D3F" w:rsidRPr="00873D3F" w:rsidTr="00873D3F">
        <w:tc>
          <w:tcPr>
            <w:tcW w:w="562" w:type="dxa"/>
            <w:shd w:val="clear" w:color="auto" w:fill="B3B3B3"/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</w:p>
        </w:tc>
        <w:tc>
          <w:tcPr>
            <w:tcW w:w="4395" w:type="dxa"/>
            <w:shd w:val="clear" w:color="auto" w:fill="B3B3B3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b/>
                <w:color w:val="000000"/>
              </w:rPr>
              <w:t>Praktično usposabljanje</w:t>
            </w:r>
          </w:p>
        </w:tc>
        <w:tc>
          <w:tcPr>
            <w:tcW w:w="850" w:type="dxa"/>
            <w:shd w:val="clear" w:color="auto" w:fill="B3B3B3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b/>
                <w:color w:val="000000"/>
              </w:rPr>
              <w:t>16</w:t>
            </w:r>
          </w:p>
        </w:tc>
      </w:tr>
      <w:tr w:rsidR="00873D3F" w:rsidRPr="00873D3F" w:rsidTr="00873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3</w:t>
            </w:r>
          </w:p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</w:p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Uvajalna praksa (nosilci iz pedagoško-psihološko-didaktičnega sklopa)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 xml:space="preserve">Pedagoška praksa </w:t>
            </w:r>
            <w:r>
              <w:rPr>
                <w:rFonts w:ascii="Arial Narrow" w:eastAsiaTheme="minorHAnsi" w:hAnsi="Arial Narrow" w:cs="Arial"/>
                <w:color w:val="000000"/>
              </w:rPr>
              <w:t>umetniških predmetov (red</w:t>
            </w:r>
            <w:r w:rsidRPr="00873D3F">
              <w:rPr>
                <w:rFonts w:ascii="Arial Narrow" w:eastAsiaTheme="minorHAnsi" w:hAnsi="Arial Narrow" w:cs="Arial"/>
                <w:color w:val="000000"/>
              </w:rPr>
              <w:t>. prof. dr. Janja Črčinovič Rozman)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10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6</w:t>
            </w:r>
          </w:p>
        </w:tc>
      </w:tr>
      <w:tr w:rsidR="00873D3F" w:rsidRPr="00873D3F" w:rsidTr="00873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b/>
                <w:color w:val="000000"/>
              </w:rPr>
              <w:t>Izbirni predmeti pedagoško-psihološko-andragoški-sklop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</w:rPr>
            </w:pPr>
          </w:p>
        </w:tc>
      </w:tr>
      <w:tr w:rsidR="00873D3F" w:rsidRPr="00873D3F" w:rsidTr="00873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Pedagogika  (red. prof. dr. Majda Pšunder</w:t>
            </w:r>
            <w:r w:rsidRPr="00873D3F">
              <w:rPr>
                <w:rFonts w:ascii="Arial Narrow" w:eastAsiaTheme="minorHAnsi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5</w:t>
            </w:r>
          </w:p>
        </w:tc>
      </w:tr>
      <w:tr w:rsidR="00873D3F" w:rsidRPr="00873D3F" w:rsidTr="00873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FF66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Andragogika za učitelje (doc. dr. Polona Kelava)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5</w:t>
            </w:r>
          </w:p>
        </w:tc>
      </w:tr>
      <w:tr w:rsidR="00873D3F" w:rsidRPr="00873D3F" w:rsidTr="00873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</w:rPr>
              <w:t xml:space="preserve">Psihologija za učitelje (izr. prof. dr. </w:t>
            </w:r>
            <w:smartTag w:uri="urn:schemas-microsoft-com:office:smarttags" w:element="PersonName">
              <w:smartTagPr>
                <w:attr w:name="ProductID" w:val="Katja Košir"/>
              </w:smartTagPr>
              <w:r w:rsidRPr="00873D3F">
                <w:rPr>
                  <w:rFonts w:ascii="Arial Narrow" w:eastAsiaTheme="minorHAnsi" w:hAnsi="Arial Narrow" w:cs="Arial"/>
                </w:rPr>
                <w:t>Katja Košir</w:t>
              </w:r>
            </w:smartTag>
            <w:r w:rsidRPr="00873D3F">
              <w:rPr>
                <w:rFonts w:ascii="Arial Narrow" w:eastAsiaTheme="minorHAnsi" w:hAnsi="Arial Narrow" w:cs="Arial"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6</w:t>
            </w:r>
          </w:p>
        </w:tc>
      </w:tr>
      <w:tr w:rsidR="00873D3F" w:rsidRPr="00873D3F" w:rsidTr="00873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Vzgojno-izobraževalno delo z otroki s posebnimi potrebami (red</w:t>
            </w:r>
            <w:r w:rsidRPr="00873D3F">
              <w:rPr>
                <w:rFonts w:ascii="Arial Narrow" w:eastAsiaTheme="minorHAnsi" w:hAnsi="Arial Narrow" w:cs="Arial"/>
              </w:rPr>
              <w:t>. prof. dr. Majda Schmidt)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5</w:t>
            </w:r>
          </w:p>
        </w:tc>
      </w:tr>
      <w:tr w:rsidR="00873D3F" w:rsidRPr="00985FD6" w:rsidTr="00873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873D3F" w:rsidRDefault="00873D3F" w:rsidP="00CC705D">
            <w:pPr>
              <w:spacing w:after="200" w:line="276" w:lineRule="auto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</w:rPr>
              <w:t xml:space="preserve">Likovna kultura v izobraževanju </w:t>
            </w:r>
            <w:r w:rsidRPr="00873D3F">
              <w:rPr>
                <w:rFonts w:ascii="Arial Narrow" w:eastAsiaTheme="minorHAnsi" w:hAnsi="Arial Narrow" w:cs="Arial"/>
                <w:color w:val="000000"/>
              </w:rPr>
              <w:t xml:space="preserve">(red. prof. dr. </w:t>
            </w:r>
            <w:smartTag w:uri="urn:schemas-microsoft-com:office:smarttags" w:element="PersonName">
              <w:smartTagPr>
                <w:attr w:name="ProductID" w:val="Matjaž Duh"/>
              </w:smartTagPr>
              <w:r w:rsidRPr="00873D3F">
                <w:rPr>
                  <w:rFonts w:ascii="Arial Narrow" w:eastAsiaTheme="minorHAnsi" w:hAnsi="Arial Narrow" w:cs="Arial"/>
                  <w:color w:val="000000"/>
                </w:rPr>
                <w:t>Matjaž Duh</w:t>
              </w:r>
            </w:smartTag>
            <w:r w:rsidRPr="00873D3F">
              <w:rPr>
                <w:rFonts w:ascii="Arial Narrow" w:eastAsiaTheme="minorHAnsi" w:hAnsi="Arial Narrow" w:cs="Arial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F" w:rsidRPr="00985FD6" w:rsidRDefault="00873D3F" w:rsidP="00CC705D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color w:val="000000"/>
              </w:rPr>
            </w:pPr>
            <w:r w:rsidRPr="00873D3F">
              <w:rPr>
                <w:rFonts w:ascii="Arial Narrow" w:eastAsiaTheme="minorHAnsi" w:hAnsi="Arial Narrow" w:cs="Arial"/>
                <w:color w:val="000000"/>
              </w:rPr>
              <w:t>5</w:t>
            </w:r>
          </w:p>
        </w:tc>
      </w:tr>
    </w:tbl>
    <w:tbl>
      <w:tblPr>
        <w:tblpPr w:leftFromText="141" w:rightFromText="141" w:vertAnchor="text" w:horzAnchor="margin" w:tblpY="114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850"/>
      </w:tblGrid>
      <w:tr w:rsidR="00873D3F" w:rsidRPr="00985FD6" w:rsidTr="00873D3F">
        <w:tc>
          <w:tcPr>
            <w:tcW w:w="562" w:type="dxa"/>
            <w:shd w:val="clear" w:color="auto" w:fill="BFBFBF"/>
          </w:tcPr>
          <w:p w:rsidR="00873D3F" w:rsidRPr="00985FD6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873D3F" w:rsidRPr="00985FD6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985FD6">
              <w:rPr>
                <w:rFonts w:ascii="Arial Narrow" w:eastAsiaTheme="minorHAnsi" w:hAnsi="Arial Narrow" w:cstheme="minorBidi"/>
                <w:b/>
                <w:szCs w:val="24"/>
              </w:rPr>
              <w:t>Strokovni izbirni predmeti -  sklop *</w:t>
            </w:r>
          </w:p>
        </w:tc>
        <w:tc>
          <w:tcPr>
            <w:tcW w:w="850" w:type="dxa"/>
            <w:shd w:val="clear" w:color="auto" w:fill="BFBFBF"/>
          </w:tcPr>
          <w:p w:rsidR="00873D3F" w:rsidRPr="00985FD6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</w:p>
        </w:tc>
      </w:tr>
      <w:tr w:rsidR="00873D3F" w:rsidRPr="00985FD6" w:rsidTr="00873D3F">
        <w:tc>
          <w:tcPr>
            <w:tcW w:w="562" w:type="dxa"/>
          </w:tcPr>
          <w:p w:rsidR="00873D3F" w:rsidRPr="00985FD6" w:rsidRDefault="00873D3F" w:rsidP="00CC705D">
            <w:pPr>
              <w:spacing w:after="200" w:line="276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985FD6">
              <w:rPr>
                <w:rFonts w:ascii="Times New Roman" w:eastAsiaTheme="minorHAnsi" w:hAnsi="Times New Roman" w:cstheme="minorBidi"/>
                <w:szCs w:val="24"/>
              </w:rPr>
              <w:t>10</w:t>
            </w:r>
          </w:p>
        </w:tc>
        <w:tc>
          <w:tcPr>
            <w:tcW w:w="4395" w:type="dxa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Risba I (red. prof. spec. Oto Rimele)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Risba II (red. prof. spec.  Oto Rimele)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Risba III (red. prof. spec. Oto Rimele)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Risba IV (red. prof. spec. Oto Rimele)</w:t>
            </w:r>
          </w:p>
        </w:tc>
        <w:tc>
          <w:tcPr>
            <w:tcW w:w="850" w:type="dxa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9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10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7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10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873D3F" w:rsidRPr="00985FD6" w:rsidTr="00873D3F">
        <w:tc>
          <w:tcPr>
            <w:tcW w:w="562" w:type="dxa"/>
          </w:tcPr>
          <w:p w:rsidR="00873D3F" w:rsidRPr="00985FD6" w:rsidRDefault="00873D3F" w:rsidP="00CC705D">
            <w:pPr>
              <w:spacing w:after="200" w:line="276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985FD6">
              <w:rPr>
                <w:rFonts w:ascii="Times New Roman" w:eastAsiaTheme="minorHAnsi" w:hAnsi="Times New Roman" w:cstheme="minorBidi"/>
                <w:szCs w:val="24"/>
              </w:rPr>
              <w:t>11</w:t>
            </w:r>
          </w:p>
        </w:tc>
        <w:tc>
          <w:tcPr>
            <w:tcW w:w="4395" w:type="dxa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Slikarstvo I ( red. prof.  spec. Anka Krašna)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Slikarstvo II (red. prof.  spec. Oto Rimele)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Slikarstvo III (red. prof. spec. Anka Krašna)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Slikarstvo IV (red. prof. spec. Oto Rimele)</w:t>
            </w:r>
          </w:p>
        </w:tc>
        <w:tc>
          <w:tcPr>
            <w:tcW w:w="850" w:type="dxa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9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10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7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10</w:t>
            </w:r>
          </w:p>
        </w:tc>
      </w:tr>
      <w:tr w:rsidR="00873D3F" w:rsidRPr="00985FD6" w:rsidTr="00873D3F">
        <w:tc>
          <w:tcPr>
            <w:tcW w:w="562" w:type="dxa"/>
          </w:tcPr>
          <w:p w:rsidR="00873D3F" w:rsidRPr="00985FD6" w:rsidRDefault="00873D3F" w:rsidP="00CC705D">
            <w:pPr>
              <w:spacing w:after="200" w:line="276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985FD6">
              <w:rPr>
                <w:rFonts w:ascii="Times New Roman" w:eastAsiaTheme="minorHAnsi" w:hAnsi="Times New Roman" w:cstheme="minorBidi"/>
                <w:szCs w:val="24"/>
              </w:rPr>
              <w:t>12</w:t>
            </w:r>
          </w:p>
        </w:tc>
        <w:tc>
          <w:tcPr>
            <w:tcW w:w="4395" w:type="dxa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Kiparstvo I (red. prof. spec.  Darko Golija)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Kiparstvo II (red. prof. spec. Darko Golija)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Kiparstvo III (red. prof. spec. Dušan Zidar)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Kiparstvo IV (red. prof. spec. Dušan Zidar)</w:t>
            </w:r>
          </w:p>
        </w:tc>
        <w:tc>
          <w:tcPr>
            <w:tcW w:w="850" w:type="dxa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8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9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8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10</w:t>
            </w:r>
          </w:p>
        </w:tc>
      </w:tr>
      <w:tr w:rsidR="00873D3F" w:rsidRPr="00985FD6" w:rsidTr="00873D3F">
        <w:tc>
          <w:tcPr>
            <w:tcW w:w="562" w:type="dxa"/>
          </w:tcPr>
          <w:p w:rsidR="00873D3F" w:rsidRPr="00985FD6" w:rsidRDefault="00873D3F" w:rsidP="00CC705D">
            <w:pPr>
              <w:spacing w:after="200" w:line="276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985FD6">
              <w:rPr>
                <w:rFonts w:ascii="Times New Roman" w:eastAsiaTheme="minorHAnsi" w:hAnsi="Times New Roman" w:cstheme="minorBidi"/>
                <w:szCs w:val="24"/>
              </w:rPr>
              <w:t>13</w:t>
            </w:r>
          </w:p>
        </w:tc>
        <w:tc>
          <w:tcPr>
            <w:tcW w:w="4395" w:type="dxa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Grafika I (red. prof. spec. Samuel Grajfoner)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Grafika II (red. prof. spec. Petra Varl)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Grafika III (red. prof. spec. Samuel Grajfoner)</w:t>
            </w:r>
          </w:p>
        </w:tc>
        <w:tc>
          <w:tcPr>
            <w:tcW w:w="850" w:type="dxa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10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9</w:t>
            </w:r>
          </w:p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9</w:t>
            </w:r>
          </w:p>
        </w:tc>
      </w:tr>
      <w:tr w:rsidR="00873D3F" w:rsidRPr="00985FD6" w:rsidTr="00873D3F">
        <w:tc>
          <w:tcPr>
            <w:tcW w:w="562" w:type="dxa"/>
          </w:tcPr>
          <w:p w:rsidR="00873D3F" w:rsidRPr="00985FD6" w:rsidRDefault="00873D3F" w:rsidP="00CC705D">
            <w:pPr>
              <w:spacing w:after="200" w:line="276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985FD6">
              <w:rPr>
                <w:rFonts w:ascii="Times New Roman" w:eastAsiaTheme="minorHAnsi" w:hAnsi="Times New Roman" w:cstheme="minorBidi"/>
                <w:szCs w:val="24"/>
              </w:rPr>
              <w:t>14</w:t>
            </w:r>
          </w:p>
        </w:tc>
        <w:tc>
          <w:tcPr>
            <w:tcW w:w="4395" w:type="dxa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Arial Narrow" w:eastAsiaTheme="minorHAnsi" w:hAnsi="Arial Narrow" w:cstheme="minorBidi"/>
              </w:rPr>
              <w:t>Intermedijske Umetnosti (red. prof. spec. Dušan Zidar)</w:t>
            </w:r>
          </w:p>
        </w:tc>
        <w:tc>
          <w:tcPr>
            <w:tcW w:w="850" w:type="dxa"/>
          </w:tcPr>
          <w:p w:rsidR="00873D3F" w:rsidRPr="00873D3F" w:rsidRDefault="00873D3F" w:rsidP="00CC705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873D3F">
              <w:rPr>
                <w:rFonts w:ascii="Times New Roman" w:eastAsiaTheme="minorHAnsi" w:hAnsi="Times New Roman" w:cstheme="minorBidi"/>
                <w:szCs w:val="24"/>
              </w:rPr>
              <w:t>5</w:t>
            </w:r>
          </w:p>
        </w:tc>
      </w:tr>
    </w:tbl>
    <w:p w:rsidR="00687832" w:rsidRDefault="00687832" w:rsidP="00687832"/>
    <w:p w:rsidR="00687832" w:rsidRDefault="00687832" w:rsidP="00687832"/>
    <w:p w:rsidR="00687832" w:rsidRDefault="00687832" w:rsidP="00D76383"/>
    <w:sectPr w:rsidR="00687832" w:rsidSect="00873D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E5" w:rsidRDefault="00D548E5" w:rsidP="00BB5C4F">
      <w:pPr>
        <w:spacing w:after="0"/>
      </w:pPr>
      <w:r>
        <w:separator/>
      </w:r>
    </w:p>
  </w:endnote>
  <w:endnote w:type="continuationSeparator" w:id="0">
    <w:p w:rsidR="00D548E5" w:rsidRDefault="00D548E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B1" w:rsidRDefault="00812EB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02A10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02A10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812EB1" w:rsidP="008915B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21030" cy="500380"/>
          <wp:effectExtent l="0" t="0" r="0" b="0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</w:t>
    </w:r>
    <w:r w:rsidR="00812EB1">
      <w:rPr>
        <w:rStyle w:val="A1"/>
        <w:rFonts w:ascii="Calibri" w:hAnsi="Calibri"/>
        <w:spacing w:val="-4"/>
        <w:sz w:val="18"/>
        <w:szCs w:val="18"/>
      </w:rPr>
      <w:t>ww.pef.um.si | dekanat.pef@um</w:t>
    </w:r>
    <w:r w:rsidRPr="008915B7">
      <w:rPr>
        <w:rStyle w:val="A1"/>
        <w:rFonts w:ascii="Calibri" w:hAnsi="Calibri"/>
        <w:spacing w:val="-4"/>
        <w:sz w:val="18"/>
        <w:szCs w:val="18"/>
      </w:rPr>
      <w:t>.si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E5" w:rsidRDefault="00D548E5" w:rsidP="00BB5C4F">
      <w:pPr>
        <w:spacing w:after="0"/>
      </w:pPr>
      <w:r>
        <w:separator/>
      </w:r>
    </w:p>
  </w:footnote>
  <w:footnote w:type="continuationSeparator" w:id="0">
    <w:p w:rsidR="00D548E5" w:rsidRDefault="00D548E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B1" w:rsidRDefault="00812EB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B1" w:rsidRDefault="00812EB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12EB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2440" cy="845185"/>
          <wp:effectExtent l="0" t="0" r="0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BF6B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9C3651C"/>
    <w:multiLevelType w:val="hybridMultilevel"/>
    <w:tmpl w:val="171AAD04"/>
    <w:lvl w:ilvl="0" w:tplc="CC02239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32"/>
    <w:rsid w:val="00015E8D"/>
    <w:rsid w:val="00051DAE"/>
    <w:rsid w:val="00051F90"/>
    <w:rsid w:val="00054766"/>
    <w:rsid w:val="000C393D"/>
    <w:rsid w:val="000F1A06"/>
    <w:rsid w:val="00215201"/>
    <w:rsid w:val="002206DE"/>
    <w:rsid w:val="0028526B"/>
    <w:rsid w:val="002E2D9F"/>
    <w:rsid w:val="00311139"/>
    <w:rsid w:val="0035475F"/>
    <w:rsid w:val="003D6941"/>
    <w:rsid w:val="00400569"/>
    <w:rsid w:val="00413C63"/>
    <w:rsid w:val="004D4EC4"/>
    <w:rsid w:val="00522FDF"/>
    <w:rsid w:val="005376C1"/>
    <w:rsid w:val="00595937"/>
    <w:rsid w:val="005B48A9"/>
    <w:rsid w:val="006837C4"/>
    <w:rsid w:val="00687832"/>
    <w:rsid w:val="006A3EBA"/>
    <w:rsid w:val="006E2478"/>
    <w:rsid w:val="007138CE"/>
    <w:rsid w:val="007410DA"/>
    <w:rsid w:val="00742061"/>
    <w:rsid w:val="00751834"/>
    <w:rsid w:val="007554FD"/>
    <w:rsid w:val="007564BD"/>
    <w:rsid w:val="00784EB8"/>
    <w:rsid w:val="007B34C1"/>
    <w:rsid w:val="007C4B80"/>
    <w:rsid w:val="0080304F"/>
    <w:rsid w:val="00812EB1"/>
    <w:rsid w:val="00873D3F"/>
    <w:rsid w:val="00884BE7"/>
    <w:rsid w:val="008915B7"/>
    <w:rsid w:val="00962BBF"/>
    <w:rsid w:val="00976774"/>
    <w:rsid w:val="009956F4"/>
    <w:rsid w:val="009C4376"/>
    <w:rsid w:val="009D1978"/>
    <w:rsid w:val="009F6375"/>
    <w:rsid w:val="00A03F1E"/>
    <w:rsid w:val="00A307E1"/>
    <w:rsid w:val="00A317E6"/>
    <w:rsid w:val="00A32CF9"/>
    <w:rsid w:val="00B02A70"/>
    <w:rsid w:val="00B13296"/>
    <w:rsid w:val="00B14DD9"/>
    <w:rsid w:val="00BB5C4F"/>
    <w:rsid w:val="00C25FF2"/>
    <w:rsid w:val="00CD7DA4"/>
    <w:rsid w:val="00D02A10"/>
    <w:rsid w:val="00D17A99"/>
    <w:rsid w:val="00D548E5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6ACE0DE"/>
  <w15:docId w15:val="{A9683246-012D-4CF1-82EA-1F614222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7832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.tacer\Desktop\GLAVA%20nova%20PEF%20U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nova PEF UM.DOTX</Template>
  <TotalTime>5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Tacer</dc:creator>
  <cp:lastModifiedBy>Natalija Tacer</cp:lastModifiedBy>
  <cp:revision>4</cp:revision>
  <dcterms:created xsi:type="dcterms:W3CDTF">2019-07-16T13:26:00Z</dcterms:created>
  <dcterms:modified xsi:type="dcterms:W3CDTF">2019-07-16T13:31:00Z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